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147" w:afterAutospacing="0" w:line="283" w:lineRule="atLeast"/>
        <w:rPr>
          <w:rFonts w:ascii="Times New Roman" w:hAnsi="Times New Roman" w:eastAsia="Calibri"/>
        </w:rPr>
        <w:suppressLineNumbers w:val="0"/>
      </w:pPr>
      <w:r>
        <w:rPr>
          <w:sz w:val="24"/>
        </w:rPr>
      </w:r>
      <w:r>
        <w:rPr>
          <w:rFonts w:ascii="Times New Roman" w:hAnsi="Times New Roman" w:eastAsia="Calibri"/>
          <w:sz w:val="24"/>
          <w:szCs w:val="26"/>
        </w:rPr>
        <w:t xml:space="preserve">Практико-ориентированная задача </w:t>
      </w:r>
      <w:r>
        <w:rPr>
          <w:rFonts w:ascii="Times New Roman" w:hAnsi="Times New Roman" w:eastAsia="Calibri"/>
          <w:sz w:val="24"/>
          <w:szCs w:val="26"/>
        </w:rPr>
      </w:r>
      <w:r/>
    </w:p>
    <w:p>
      <w:pPr>
        <w:contextualSpacing w:val="0"/>
        <w:jc w:val="center"/>
        <w:spacing w:before="0" w:after="147" w:afterAutospacing="0" w:line="283" w:lineRule="atLeast"/>
        <w:rPr>
          <w:rFonts w:ascii="Times New Roman" w:hAnsi="Times New Roman" w:eastAsia="Calibri"/>
          <w:highlight w:val="none"/>
        </w:rPr>
        <w:suppressLineNumbers w:val="0"/>
      </w:pPr>
      <w:r>
        <w:rPr>
          <w:rFonts w:ascii="Times New Roman" w:hAnsi="Times New Roman" w:eastAsia="Calibri"/>
          <w:sz w:val="24"/>
          <w:szCs w:val="26"/>
        </w:rPr>
        <w:t xml:space="preserve">водогрейной котельной «Дземги» СП «Комсомольской ТЭЦ-3» </w:t>
      </w:r>
      <w:r>
        <w:rPr>
          <w:rFonts w:ascii="Times New Roman" w:hAnsi="Times New Roman" w:eastAsia="Calibri"/>
          <w:sz w:val="24"/>
          <w:szCs w:val="26"/>
          <w:highlight w:val="none"/>
        </w:rPr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3543"/>
        <w:gridCol w:w="5812"/>
      </w:tblGrid>
      <w:tr>
        <w:trPr/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Наименование предприятия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СП «Комсомольская ТЭЦ-3» водогрейная котельная «Дземги»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Тематическое направление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Повышение надежности работы основного оборудования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Краткое название кейса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Разработка автоматической системы управления котла ГМ-50/14-250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Описание кейса (решаемой проблемы)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Исключение человеческого фактора, улучшение культуры производства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Конкретное лицо для взаимодействия по кейсу (ФИО, адрес эл.почты, телефон)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147" w:afterAutospacing="0" w:line="283" w:lineRule="atLeast"/>
              <w:rPr>
                <w:rFonts w:ascii="Times New Roman" w:hAnsi="Times New Roman" w:eastAsia="Calibri"/>
                <w:highlight w:val="none"/>
              </w:rPr>
              <w:suppressLineNumbers w:val="0"/>
            </w:pP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В.В.Атавин 233423 </w:t>
            </w:r>
            <w:r>
              <w:rPr>
                <w:rFonts w:ascii="Times New Roman" w:hAnsi="Times New Roman" w:eastAsia="Calibri"/>
                <w:sz w:val="24"/>
                <w:highlight w:val="none"/>
              </w:rPr>
              <w:t xml:space="preserve">atavin-vv@dgk.ru</w:t>
            </w:r>
            <w:r>
              <w:rPr>
                <w:rFonts w:ascii="Times New Roman" w:hAnsi="Times New Roman" w:eastAsia="Calibri"/>
                <w:sz w:val="24"/>
                <w:szCs w:val="26"/>
                <w:highlight w:val="none"/>
              </w:rPr>
            </w:r>
            <w:r/>
          </w:p>
        </w:tc>
      </w:tr>
    </w:tbl>
    <w:p>
      <w:pPr>
        <w:contextualSpacing w:val="0"/>
        <w:jc w:val="center"/>
        <w:spacing w:before="0" w:after="147" w:afterAutospacing="0" w:line="283" w:lineRule="atLeast"/>
        <w:rPr>
          <w:rFonts w:ascii="Times New Roman" w:hAnsi="Times New Roman" w:eastAsia="Calibri"/>
          <w:highlight w:val="none"/>
        </w:rPr>
        <w:suppressLineNumbers w:val="0"/>
      </w:pPr>
      <w:r>
        <w:rPr>
          <w:rFonts w:ascii="Times New Roman" w:hAnsi="Times New Roman" w:eastAsia="Calibri"/>
          <w:sz w:val="24"/>
          <w:szCs w:val="26"/>
          <w:highlight w:val="none"/>
        </w:rPr>
      </w:r>
      <w:r>
        <w:rPr>
          <w:rFonts w:ascii="Times New Roman" w:hAnsi="Times New Roman" w:eastAsia="Calibri"/>
          <w:sz w:val="24"/>
          <w:szCs w:val="26"/>
          <w:highlight w:val="none"/>
        </w:rPr>
      </w:r>
      <w:r/>
    </w:p>
    <w:p>
      <w:p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1"/>
        </w:rPr>
        <w:t xml:space="preserve">Модернизация парового котла на современном оборудовании с разра</w:t>
      </w:r>
      <w:r>
        <w:rPr>
          <w:rFonts w:ascii="Times New Roman" w:hAnsi="Times New Roman" w:cs="Times New Roman" w:eastAsia="Times New Roman"/>
          <w:color w:val="000000"/>
          <w:sz w:val="24"/>
          <w:szCs w:val="21"/>
        </w:rPr>
        <w:t xml:space="preserve">боткой новой системы управления</w:t>
      </w:r>
      <w:r>
        <w:rPr>
          <w:rFonts w:ascii="Times New Roman" w:hAnsi="Times New Roman" w:cs="Times New Roman" w:eastAsia="Times New Roman"/>
          <w:color w:val="000000"/>
          <w:sz w:val="24"/>
          <w:szCs w:val="21"/>
        </w:rPr>
        <w:t xml:space="preserve">. С разработкой SCADA системой, установкой панели оператора и органов управления в помещении операторской. Замена датчиков контроля параметров процесса и исполнительных механи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змов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1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Автоматизированная система управления предназначена для: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2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безопасного розжига и эксплуатации парового котла в соответствии с требованиями нормативных документов;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2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осуществления автоматических блокировок, автоматических защит и поддержания требуемых технологических параметров работы котла;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2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отображения и регистрации технологических параметров, осуществления ручного режима управления, формирования предупредительной и аварийной сигнализации.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2.</w:t>
        <w:tab/>
        <w:t xml:space="preserve">Структура АСУ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 Центром системы управления является программируемый контроллер. Функционирование системы управления определяется программным обеспечением контроллера.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3.</w:t>
        <w:tab/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Автоматика безопасности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3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программное обеспечение контроллера должно обеспечить управление исполнительными механизмами для осуществления безопасного розжига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3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б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локировать возможность вмешаться в технологический процесс оператору и нарушить порядок розжига.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4. Программное обеспечение контроллера должно осуществить отсечку подачи энергоносителя на работающем котле при следующих условиях: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пропадании факела горелок, которые находятся в работе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повышении / снижении давления природного газа перед горелками (при работе на газе)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снижении давления мазута за регулирующим клапаном (при работе на мазуте)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отсутствии разрежения в котле 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( 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или отключении дымососа)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снижении давления воздуха перед горелками ( или отключении вентилятора)</w:t>
      </w:r>
      <w:r>
        <w:rPr>
          <w:rFonts w:ascii="Times New Roman" w:hAnsi="Times New Roman" w:cs="Times New Roman" w:eastAsia="Times New Roman"/>
          <w:sz w:val="24"/>
          <w:szCs w:val="21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1"/>
        </w:rPr>
      </w:r>
      <w:r/>
    </w:p>
    <w:p>
      <w:pPr>
        <w:pStyle w:val="29"/>
        <w:numPr>
          <w:ilvl w:val="0"/>
          <w:numId w:val="4"/>
        </w:numPr>
        <w:ind w:left="0" w:right="0" w:firstLine="709"/>
        <w:jc w:val="both"/>
        <w:shd w:val="nil" w:color="00000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4"/>
          <w:szCs w:val="21"/>
        </w:rPr>
        <w:t xml:space="preserve">повышении / снижении уровня воды в барабане</w:t>
      </w:r>
      <w:r>
        <w:t xml:space="preserve">.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</w:r>
      <w:r/>
    </w:p>
    <w:p>
      <w:pPr>
        <w:contextualSpacing w:val="0"/>
        <w:jc w:val="center"/>
        <w:spacing w:before="0" w:after="200" w:line="283" w:lineRule="atLeast"/>
        <w:suppressLineNumbers w:val="0"/>
      </w:pPr>
      <w:r>
        <w:rPr>
          <w:rFonts w:ascii="Times New Roman" w:hAnsi="Times New Roman" w:eastAsia="Calibri"/>
          <w:sz w:val="26"/>
          <w:szCs w:val="26"/>
          <w:highlight w:val="none"/>
        </w:rPr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</dc:creator>
  <cp:revision>3</cp:revision>
  <dcterms:created xsi:type="dcterms:W3CDTF">2023-02-10T03:29:00Z</dcterms:created>
  <dcterms:modified xsi:type="dcterms:W3CDTF">2023-02-10T04:04:36Z</dcterms:modified>
</cp:coreProperties>
</file>